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6 - February 10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21</w:t>
            </w: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6</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Can you believe we have been in kindergarten for almost 100 days? We will be having a celebration on Tuesday, February 14th. On this day, we will celebrate Valentine’s Day and our 100th day of school. Our class will need items to make this day successful. I will let you know soon what items are needed.</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also be passing out Valentine’s Day cards. If you wish for your child to participate, he/she may brings cards for everyone in the class. There are 21 students. Your child only needs to fill out the </w:t>
            </w:r>
            <w:r w:rsidDel="00000000" w:rsidR="00000000" w:rsidRPr="00000000">
              <w:rPr>
                <w:rFonts w:ascii="Arial Narrow" w:cs="Arial Narrow" w:eastAsia="Arial Narrow" w:hAnsi="Arial Narrow"/>
                <w:b w:val="1"/>
                <w:u w:val="single"/>
                <w:rtl w:val="0"/>
              </w:rPr>
              <w:t xml:space="preserve">FROM</w:t>
            </w:r>
            <w:r w:rsidDel="00000000" w:rsidR="00000000" w:rsidRPr="00000000">
              <w:rPr>
                <w:rFonts w:ascii="Arial Narrow" w:cs="Arial Narrow" w:eastAsia="Arial Narrow" w:hAnsi="Arial Narrow"/>
                <w:b w:val="1"/>
                <w:rtl w:val="0"/>
              </w:rPr>
              <w:t xml:space="preserve"> part of the card. No need to fill out the To part.</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Please feel free to message me on DOJO if you have any questions. </w:t>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36"/>
                <w:szCs w:val="36"/>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that</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but</w:t>
            </w:r>
          </w:p>
        </w:tc>
      </w:tr>
      <w:tr>
        <w:trPr>
          <w:trHeight w:val="15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Empathy</w:t>
            </w:r>
          </w:p>
        </w:tc>
      </w:tr>
      <w:tr>
        <w:trPr>
          <w:trHeight w:val="42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sz w:val="36"/>
                <w:szCs w:val="36"/>
                <w:u w:val="single"/>
              </w:rP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Our class is in need of hand sanitizer, paper towels and wet wipes.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Think of five words with the</w:t>
            </w:r>
            <w:r w:rsidDel="00000000" w:rsidR="00000000" w:rsidRPr="00000000">
              <w:rPr>
                <w:rFonts w:ascii="Arial Narrow" w:cs="Arial Narrow" w:eastAsia="Arial Narrow" w:hAnsi="Arial Narrow"/>
                <w:b w:val="1"/>
                <w:sz w:val="28"/>
                <w:szCs w:val="28"/>
                <w:rtl w:val="0"/>
              </w:rPr>
              <w:t xml:space="preserve"> /gl/</w:t>
            </w:r>
            <w:r w:rsidDel="00000000" w:rsidR="00000000" w:rsidRPr="00000000">
              <w:rPr>
                <w:rFonts w:ascii="Arial Narrow" w:cs="Arial Narrow" w:eastAsia="Arial Narrow" w:hAnsi="Arial Narrow"/>
                <w:sz w:val="28"/>
                <w:szCs w:val="28"/>
                <w:rtl w:val="0"/>
              </w:rPr>
              <w:t xml:space="preserve"> blend. Say the words to a family member.</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each word and circle the</w:t>
            </w:r>
            <w:r w:rsidDel="00000000" w:rsidR="00000000" w:rsidRPr="00000000">
              <w:rPr>
                <w:rFonts w:ascii="Arial Narrow" w:cs="Arial Narrow" w:eastAsia="Arial Narrow" w:hAnsi="Arial Narrow"/>
                <w:b w:val="1"/>
                <w:sz w:val="28"/>
                <w:szCs w:val="28"/>
                <w:rtl w:val="0"/>
              </w:rPr>
              <w:t xml:space="preserve"> /gl/</w:t>
            </w:r>
            <w:r w:rsidDel="00000000" w:rsidR="00000000" w:rsidRPr="00000000">
              <w:rPr>
                <w:rFonts w:ascii="Arial Narrow" w:cs="Arial Narrow" w:eastAsia="Arial Narrow" w:hAnsi="Arial Narrow"/>
                <w:sz w:val="28"/>
                <w:szCs w:val="28"/>
                <w:rtl w:val="0"/>
              </w:rPr>
              <w:t xml:space="preserve">. A family member can help you.</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10 words with the </w:t>
            </w:r>
            <w:r w:rsidDel="00000000" w:rsidR="00000000" w:rsidRPr="00000000">
              <w:rPr>
                <w:rFonts w:ascii="Arial Narrow" w:cs="Arial Narrow" w:eastAsia="Arial Narrow" w:hAnsi="Arial Narrow"/>
                <w:b w:val="1"/>
                <w:sz w:val="28"/>
                <w:szCs w:val="28"/>
                <w:rtl w:val="0"/>
              </w:rPr>
              <w:t xml:space="preserve">/gl/</w:t>
            </w:r>
            <w:r w:rsidDel="00000000" w:rsidR="00000000" w:rsidRPr="00000000">
              <w:rPr>
                <w:rFonts w:ascii="Arial Narrow" w:cs="Arial Narrow" w:eastAsia="Arial Narrow" w:hAnsi="Arial Narrow"/>
                <w:sz w:val="28"/>
                <w:szCs w:val="28"/>
                <w:rtl w:val="0"/>
              </w:rPr>
              <w:t xml:space="preserve"> blend.</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7">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that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but</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left"/>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Think of five words with the /sl/ blend. Say the words to a family member.</w:t>
            </w:r>
          </w:p>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each word and circle the /sl/. A family member can help you.</w:t>
            </w:r>
          </w:p>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10 words with the /sl/ sound.</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went to the zoo and saw 15 snakes.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 Id="rId7" Type="http://schemas.openxmlformats.org/officeDocument/2006/relationships/hyperlink" Target="http://www.mathwire.com/numbersense/blankhundredcha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