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February 13 - February 17</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22</w:t>
            </w: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13</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14</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February 15</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February 16</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February 17</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Thursday, February 16th is U-Swirl Night from 3-8.</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PTSO general meeting will be held in the library on Friday, February 17th at 8:10 am.</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is no school on Monday, February 20th in honor of President’s Day.</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Spring picture day is on Thursday, February 23rd. </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 night will be on Friday, February 24th. The time is to be determined.</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February 27th - March 3rd is Nevada Reading Week.</w:t>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48"/>
                <w:szCs w:val="48"/>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what</w:t>
            </w:r>
          </w:p>
        </w:tc>
      </w:tr>
      <w:tr>
        <w:trPr>
          <w:trHeight w:val="15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Organization</w:t>
            </w:r>
          </w:p>
        </w:tc>
      </w:tr>
      <w:tr>
        <w:trPr>
          <w:trHeight w:val="42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i w:val="1"/>
                <w:sz w:val="36"/>
                <w:szCs w:val="36"/>
                <w:u w:val="single"/>
              </w:rP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13 - February 17</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Last week we read the story, </w:t>
            </w:r>
            <w:r w:rsidDel="00000000" w:rsidR="00000000" w:rsidRPr="00000000">
              <w:rPr>
                <w:rFonts w:ascii="Arial Narrow" w:cs="Arial Narrow" w:eastAsia="Arial Narrow" w:hAnsi="Arial Narrow"/>
                <w:b w:val="1"/>
                <w:i w:val="1"/>
                <w:sz w:val="28"/>
                <w:szCs w:val="28"/>
                <w:rtl w:val="0"/>
              </w:rPr>
              <w:t xml:space="preserve">Just Going to The Dentist.</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Retell</w:t>
            </w:r>
            <w:r w:rsidDel="00000000" w:rsidR="00000000" w:rsidRPr="00000000">
              <w:rPr>
                <w:rFonts w:ascii="Arial Narrow" w:cs="Arial Narrow" w:eastAsia="Arial Narrow" w:hAnsi="Arial Narrow"/>
                <w:sz w:val="28"/>
                <w:szCs w:val="28"/>
                <w:rtl w:val="0"/>
              </w:rPr>
              <w:t xml:space="preserve"> the story to a family member. Talk about the characters and setting.</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Fill in the blanks: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main character of Just Going to the Dentist  is 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setting of Just Going to the Dentist  is 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two sentences about the major event.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(Bring the items from last week’s homework.)</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small baggie and </w:t>
            </w:r>
            <w:r w:rsidDel="00000000" w:rsidR="00000000" w:rsidRPr="00000000">
              <w:rPr>
                <w:rFonts w:ascii="Arial Narrow" w:cs="Arial Narrow" w:eastAsia="Arial Narrow" w:hAnsi="Arial Narrow"/>
                <w:b w:val="1"/>
                <w:sz w:val="28"/>
                <w:szCs w:val="28"/>
                <w:u w:val="single"/>
                <w:rtl w:val="0"/>
              </w:rPr>
              <w:t xml:space="preserve">BRING IT TO SCHOOL TOMORROW.</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Homework.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Spend this time snuggled up to someone you love. Take turns telling your family members what you love about them.</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Homework.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Spend this time snuggled up to someone you love. Take turns telling your family members what you love about them.</w:t>
            </w:r>
            <w:r w:rsidDel="00000000" w:rsidR="00000000" w:rsidRPr="00000000">
              <w:rPr>
                <w:rtl w:val="0"/>
              </w:rPr>
            </w:r>
          </w:p>
        </w:tc>
      </w:tr>
      <w:tr>
        <w:trPr>
          <w:trHeight w:val="27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Make a </w:t>
            </w:r>
            <w:r w:rsidDel="00000000" w:rsidR="00000000" w:rsidRPr="00000000">
              <w:rPr>
                <w:rFonts w:ascii="Arial Narrow" w:cs="Arial Narrow" w:eastAsia="Arial Narrow" w:hAnsi="Arial Narrow"/>
                <w:b w:val="1"/>
                <w:i w:val="1"/>
                <w:sz w:val="28"/>
                <w:szCs w:val="28"/>
                <w:u w:val="single"/>
                <w:rtl w:val="0"/>
              </w:rPr>
              <w:t xml:space="preserve">list</w:t>
            </w:r>
            <w:r w:rsidDel="00000000" w:rsidR="00000000" w:rsidRPr="00000000">
              <w:rPr>
                <w:rFonts w:ascii="Arial Narrow" w:cs="Arial Narrow" w:eastAsia="Arial Narrow" w:hAnsi="Arial Narrow"/>
                <w:b w:val="1"/>
                <w:sz w:val="28"/>
                <w:szCs w:val="28"/>
                <w:rtl w:val="0"/>
              </w:rPr>
              <w:t xml:space="preserve"> of 5 things you love. Have a family member help you.</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left"/>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Example:</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I Love</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books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chocolate</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kids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teaching</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Make a list of 10 things you love.</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 Write the number next to each item.</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10 flowers are growing in the garden.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8 stars are in the sky.</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12 chocolate hearts.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have 10 fingers.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can eat 6 tacos.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Last night I read 4 books.</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