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76200</wp:posOffset>
            </wp:positionH>
            <wp:positionV relativeFrom="paragraph">
              <wp:posOffset>123825</wp:posOffset>
            </wp:positionV>
            <wp:extent cx="976313" cy="761524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76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bidiVisual w:val="0"/>
        <w:tblW w:w="11295.0" w:type="dxa"/>
        <w:jc w:val="left"/>
        <w:tblInd w:w="-115.0" w:type="dxa"/>
        <w:tblBorders>
          <w:top w:color="000000" w:space="0" w:sz="24" w:val="single"/>
          <w:left w:color="000000" w:space="0" w:sz="24" w:val="single"/>
          <w:bottom w:color="000000" w:space="0" w:sz="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585"/>
        <w:gridCol w:w="3885"/>
        <w:gridCol w:w="105"/>
        <w:gridCol w:w="3720"/>
        <w:tblGridChange w:id="0">
          <w:tblGrid>
            <w:gridCol w:w="3585"/>
            <w:gridCol w:w="3885"/>
            <w:gridCol w:w="105"/>
            <w:gridCol w:w="3720"/>
          </w:tblGrid>
        </w:tblGridChange>
      </w:tblGrid>
      <w:tr>
        <w:trPr>
          <w:trHeight w:val="1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52"/>
                <w:szCs w:val="5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Kindergarten </w:t>
            </w:r>
            <w:r w:rsidDel="00000000" w:rsidR="00000000" w:rsidRPr="00000000">
              <w:rPr>
                <w:rFonts w:ascii="Arial Narrow" w:cs="Arial Narrow" w:eastAsia="Arial Narrow" w:hAnsi="Arial Narrow"/>
                <w:sz w:val="52"/>
                <w:szCs w:val="52"/>
                <w:rtl w:val="0"/>
              </w:rPr>
              <w:t xml:space="preserve">Kiddos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Newsletter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5505450</wp:posOffset>
                  </wp:positionH>
                  <wp:positionV relativeFrom="paragraph">
                    <wp:posOffset>95250</wp:posOffset>
                  </wp:positionV>
                  <wp:extent cx="1028700" cy="838200"/>
                  <wp:effectExtent b="0" l="0" r="0" t="0"/>
                  <wp:wrapSquare wrapText="bothSides" distB="0" distT="0" distL="114300" distR="114300"/>
                  <wp:docPr descr="Click to view" id="2" name="image4.jpg"/>
                  <a:graphic>
                    <a:graphicData uri="http://schemas.openxmlformats.org/drawingml/2006/picture">
                      <pic:pic>
                        <pic:nvPicPr>
                          <pic:cNvPr descr="Click to view"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52"/>
                <w:szCs w:val="52"/>
                <w:rtl w:val="0"/>
              </w:rPr>
              <w:t xml:space="preserve">May 29 - June 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0" w:hRule="atLeast"/>
        </w:trPr>
        <w:tc>
          <w:tcPr>
            <w:gridSpan w:val="4"/>
            <w:vMerge w:val="restart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Week 36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0185.0" w:type="dxa"/>
              <w:jc w:val="left"/>
              <w:tblInd w:w="21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45"/>
              <w:gridCol w:w="2790"/>
              <w:gridCol w:w="3750"/>
              <w:tblGridChange w:id="0">
                <w:tblGrid>
                  <w:gridCol w:w="3645"/>
                  <w:gridCol w:w="2790"/>
                  <w:gridCol w:w="375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Venture Calendar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Monday,  May 29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No School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Tuesday, May 30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S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Wednesday, May 31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V 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left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Thursday, June 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T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left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            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 Friday, June 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  <w:rtl w:val="0"/>
                    </w:rPr>
                    <w:t xml:space="preserve">R 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left"/>
                    <w:rPr>
                      <w:rFonts w:ascii="Coming Soon" w:cs="Coming Soon" w:eastAsia="Coming Soon" w:hAnsi="Coming Soo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jc w:val="left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jc w:val="center"/>
              <w:rPr>
                <w:rFonts w:ascii="Coming Soon" w:cs="Coming Soon" w:eastAsia="Coming Soon" w:hAnsi="Coming Soon"/>
                <w:b w:val="1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u w:val="single"/>
                <w:rtl w:val="0"/>
              </w:rPr>
              <w:t xml:space="preserve">Upcoming Events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Wednesday, May 31st is the Academic Fair from 5:30 to 7:00. Come see all the fabulous displays.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Field Day is on Wednesday, June 7th. 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Please put sunscreen on your child BEFORE school. Make sure he/she is wearing appropriate shoes, and has plenty of water. There will be water games, so a change of clothes is a good idea.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contextualSpacing w:val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contextualSpacing w:val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The Kindergarten Awards/Promotion Ceremony will be on Tuesday, June 6th at 9:45. Join us in the kinder classrooms for cake and pictures after the ceremony.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Thursday, June 8th is the last day of school. Dismissal will be at 12:30. School lunch will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 be served this 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Thank you,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sz w:val="48"/>
                <w:szCs w:val="4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Kindergarten Teachers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Reading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Writing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Math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We will be able to ask and answer questions about unknown words in a text.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  <w:rtl w:val="0"/>
              </w:rPr>
              <w:t xml:space="preserve">Participate in shared research and writing project.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  <w:rtl w:val="0"/>
              </w:rPr>
              <w:t xml:space="preserve">With guidance and support from adults, explore a variety of digital tools to produce and publish writing, including in collaboration with peers.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00" w:before="100" w:line="240" w:lineRule="auto"/>
              <w:ind w:left="49" w:hanging="360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</w:t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mingSoon-regular.ttf"/></Relationships>
</file>